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40" w:before="80" w:line="276" w:lineRule="auto"/>
        <w:jc w:val="center"/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sz w:val="36"/>
          <w:szCs w:val="36"/>
          <w:rtl w:val="0"/>
        </w:rPr>
        <w:t xml:space="preserve">Where is he? We have come to Worship him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80" w:line="240" w:lineRule="auto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Matthew 2:01-12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80" w:line="240" w:lineRule="auto"/>
        <w:rPr/>
      </w:pPr>
      <w:r w:rsidDel="00000000" w:rsidR="00000000" w:rsidRPr="00000000">
        <w:rPr>
          <w:rtl w:val="0"/>
        </w:rPr>
        <w:t xml:space="preserve">Key Verse 10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80" w:line="240" w:lineRule="auto"/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tl w:val="0"/>
        </w:rPr>
        <w:t xml:space="preserve">When they saw the star, they rejoiced exceedingly with great joy.”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before="8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Who are the wise men and where did they come from?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before="8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were the wise men looking for the king of the Jews?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before="8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How did the wisemen know the king of theJews was born? What did they see?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before="8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What does God use in modern times to lead people to Jesus?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8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King Herod and all of Jerusalem heard the news about the messiah’s birth, how did they react? Why did they react this way?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8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did the chief priests and the scribes know where the messiah was going to be born?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before="8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If they knew where the messiah was going to be born, why didn’t they seek him like the wise men?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8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Read verses 9 and 10. How did the wise men locate the exact place where the child was? How did they react when they saw the star?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8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did the wisemen do when they saw the child?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before="8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did they offer to the child? What is the significance of Gold, Frankincense and Myrrh?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before="8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did the wisemen get warned of Herod? What did they do after waking from their dream?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before="8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Why were wisemen from the east led by a star to Jesus, but not the king of Jerusalem or the chief priests and scribes? Did they receive any revelation? (V2)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before="8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‘star(s)’ might they have been following instead?</w:t>
      </w:r>
    </w:p>
    <w:sectPr>
      <w:pgSz w:h="2016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color w:val="66666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mATTHEW+2%3A1-12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