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center"/>
      </w:pPr>
      <w:r w:rsidDel="00000000" w:rsidR="00000000" w:rsidRPr="00000000">
        <w:rPr>
          <w:b w:val="1"/>
          <w:sz w:val="24"/>
          <w:szCs w:val="24"/>
          <w:rtl w:val="0"/>
        </w:rPr>
        <w:t xml:space="preserve">The Stone the Builders Rejected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Luke 20:9-19</w:t>
      </w:r>
    </w:p>
    <w:p w:rsidR="00000000" w:rsidDel="00000000" w:rsidP="00000000" w:rsidRDefault="00000000" w:rsidRPr="00000000">
      <w:pPr>
        <w:contextualSpacing w:val="0"/>
      </w:pPr>
      <w:r w:rsidDel="00000000" w:rsidR="00000000" w:rsidRPr="00000000">
        <w:rPr>
          <w:sz w:val="24"/>
          <w:szCs w:val="24"/>
          <w:rtl w:val="0"/>
        </w:rPr>
        <w:t xml:space="preserve">Key Verse 13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sz w:val="24"/>
          <w:szCs w:val="24"/>
          <w:rtl w:val="0"/>
        </w:rPr>
        <w:t xml:space="preserve">    “Then the owner of the vineyard said, ‘What shall I do? I will send my son, whom I love; perhaps they will respect him.’”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1. Read verse 9. To whom does “a man” refer to in this passage? Who do “some farmers” represent? What was the owner’s desire and expectation while he was away for a long time? (Isa 5:1-7)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2. Read verses 10-12. How did the tenants respond when the owner sent servants to collect some fruit from the harvest? (10) How did the tenants increase their hostility as the owner continued to send more servants? (11-12) What might have caused them to respond in such a way?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3. Read verses 13-15a. What did the owner do? (13) What does this reveal about the heart of God? How did this parable come to pass in and through Jesus? (14-15)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4. Read verses 15b-19. What would the owner do about these rebellious tenants? (16a)  How did the people respond? (16b) What did Jesus mean by quoting Psalm 118:22-23? (17-18) How can we become good tenants in God’s vineyard?</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